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p>
    <w:p>
      <w:pPr>
        <w:spacing w:line="600" w:lineRule="exact"/>
        <w:jc w:val="center"/>
        <w:rPr>
          <w:rFonts w:hint="eastAsia"/>
        </w:rPr>
      </w:pPr>
      <w:r>
        <w:rPr>
          <w:lang w:val="zh-CN"/>
        </w:rPr>
        <w:pict>
          <v:shape id="_x0000_s1026" o:spid="_x0000_s1026" o:spt="136" type="#_x0000_t136" style="position:absolute;left:0pt;margin-left:14.55pt;margin-top:-17.7pt;height:70.2pt;width:405pt;z-index:251660288;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p>
    <w:p>
      <w:pPr>
        <w:spacing w:line="600" w:lineRule="exact"/>
        <w:jc w:val="center"/>
        <w:rPr>
          <w:rFonts w:hint="eastAsia"/>
        </w:rPr>
      </w:pPr>
    </w:p>
    <w:p>
      <w:pPr>
        <w:spacing w:line="600" w:lineRule="exact"/>
        <w:jc w:val="center"/>
        <w:rPr>
          <w:rFonts w:hint="eastAsia"/>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kern w:val="0"/>
          <w:sz w:val="32"/>
          <w:szCs w:val="32"/>
        </w:rPr>
      </w:pPr>
      <w:r>
        <w:rPr>
          <w:rFonts w:hint="eastAsia" w:ascii="仿宋_GB2312" w:hAnsi="仿宋_GB2312" w:eastAsia="仿宋_GB2312" w:cs="仿宋_GB2312"/>
          <w:kern w:val="0"/>
          <w:sz w:val="32"/>
          <w:szCs w:val="32"/>
        </w:rPr>
        <w:t>厦安防〔20</w:t>
      </w:r>
      <w:r>
        <w:rPr>
          <w:rFonts w:hint="eastAsia" w:ascii="仿宋_GB2312" w:hAnsi="仿宋_GB2312" w:eastAsia="仿宋_GB2312" w:cs="仿宋_GB2312"/>
          <w:kern w:val="0"/>
          <w:sz w:val="32"/>
          <w:szCs w:val="32"/>
          <w:lang w:val="en-US" w:eastAsia="zh-CN"/>
        </w:rPr>
        <w:t>22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449" w:beforeLines="100" w:line="600" w:lineRule="exact"/>
        <w:jc w:val="center"/>
        <w:textAlignment w:val="auto"/>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厦门安防科技职业学院</w:t>
      </w:r>
    </w:p>
    <w:p>
      <w:pPr>
        <w:spacing w:line="62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关于印发《“教学型”副教授专业技术职务</w:t>
      </w:r>
    </w:p>
    <w:p>
      <w:pPr>
        <w:spacing w:line="62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聘任办法（试行）》的通知</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仿宋" w:hAnsi="仿宋" w:eastAsia="仿宋" w:cs="Times New Roman"/>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rPr>
          <w:rFonts w:ascii="仿宋" w:hAnsi="仿宋" w:eastAsia="仿宋" w:cs="仿宋"/>
          <w:sz w:val="32"/>
          <w:szCs w:val="32"/>
        </w:rPr>
      </w:pPr>
      <w:r>
        <w:rPr>
          <w:rFonts w:hint="eastAsia" w:ascii="仿宋" w:hAnsi="仿宋" w:eastAsia="仿宋" w:cs="仿宋"/>
          <w:sz w:val="32"/>
          <w:szCs w:val="32"/>
        </w:rPr>
        <w:t>各二级学院，各处（室、馆、中心）：</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为进一步健全教师专业技术职务聘任体系，推进我校教师专业技术职务评聘制度改革,学校决定设置“教学型”副教授专业技术岗位，以鼓励长期坚守在教学一线的教师安心教书育人，潜心教学研究，经学校研究同意，现印发《厦门安防科技职业学院“教学型”副教授专业技术职务聘任办法（试行）》给你们，请遵照执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00"/>
        <w:textAlignment w:val="auto"/>
        <w:rPr>
          <w:rFonts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厦门安防科技职业学院</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5680" w:firstLineChars="1775"/>
        <w:textAlignment w:val="auto"/>
        <w:rPr>
          <w:rFonts w:ascii="仿宋" w:hAnsi="仿宋" w:eastAsia="仿宋" w:cs="仿宋"/>
          <w:sz w:val="32"/>
          <w:szCs w:val="32"/>
        </w:rPr>
      </w:pPr>
      <w:r>
        <w:rPr>
          <w:rFonts w:hint="eastAsia" w:ascii="仿宋" w:hAnsi="仿宋" w:eastAsia="仿宋" w:cs="仿宋"/>
          <w:sz w:val="32"/>
          <w:szCs w:val="32"/>
        </w:rPr>
        <w:t>2022年2月28日</w:t>
      </w: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厦门安防科技职业学院</w:t>
      </w: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关于“教学型”副教授专业技术职务聘任办法（试行）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为进一步推进我校教师专业技术职务评聘制度改革，建立结构合理、素质优良的师资队伍，鼓励教师积极投身教学实践，努力提高教学水平和教学效果，加强我校教学型教师队伍建设，依据上级有关文件规定精神，结合学校特点和实际情况，制定本办法。</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一、原则</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1.《厦门安防科技职业学院教师职称评定实施办法(厦安防〔2022〕5号)》为本办法的指导文件；</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2.促进职业教育教学，加强分类管理；</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3.突出对教师教学能力和教学类成果的评价。</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二、适用人员</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本校教学一线具有讲师专业技术职务的专任教师。</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三、任职资格条件</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b/>
          <w:sz w:val="32"/>
          <w:szCs w:val="32"/>
        </w:rPr>
      </w:pPr>
      <w:r>
        <w:rPr>
          <w:rFonts w:hint="eastAsia" w:ascii="仿宋" w:hAnsi="仿宋" w:eastAsia="仿宋"/>
          <w:b/>
          <w:sz w:val="32"/>
          <w:szCs w:val="32"/>
        </w:rPr>
        <w:t>1.学历资历</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申报 “教学型”副教授专业技术职务的人员必须满足正常参评副教授专业技术职务的基本条件及学历资历条件，并符合《厦门安防科技职业学院教师职称评定实施办法(厦安防〔2022〕5号)》和评审当年《厦门安防科技职业学院关于开展教师等系列专业技术职务评聘工作的通知》中的相关规定。</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b/>
          <w:sz w:val="32"/>
          <w:szCs w:val="32"/>
        </w:rPr>
      </w:pPr>
      <w:r>
        <w:rPr>
          <w:rFonts w:hint="eastAsia" w:ascii="仿宋" w:hAnsi="仿宋" w:eastAsia="仿宋"/>
          <w:b/>
          <w:sz w:val="32"/>
          <w:szCs w:val="32"/>
        </w:rPr>
        <w:t>2.教学工作</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（1）任现职以来，从事一线教学工作；</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（2）教学效果好，教学纪律规范且近五年没有教学事故记录，学生评教平均分排名在全校20%以内；</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3）系统讲授1门以上课程的教学工作，且平均每学年完成的教学工作量不少于360课时（从事管理、科研等其他工作或在职进修、攻读学位的可适当减少）,并按教学计划安排，组织完成指导实习、实验、实训、社会调查、毕业设计（论文）等；</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（4）与企业、行业建立长期、稳定的合作关系，任现职期间，“一师二企”联系制度工作考核均合格以上。</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（5）校内成立“教学型副教授”评审专家组对申报人员进行课堂教学质量考核，近2年课堂教学质量考核评价结果为优秀。（具体程序由教务处另行拟定）</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b/>
          <w:sz w:val="32"/>
          <w:szCs w:val="32"/>
        </w:rPr>
      </w:pPr>
      <w:r>
        <w:rPr>
          <w:rFonts w:hint="eastAsia" w:ascii="仿宋" w:hAnsi="仿宋" w:eastAsia="仿宋"/>
          <w:b/>
          <w:sz w:val="32"/>
          <w:szCs w:val="32"/>
        </w:rPr>
        <w:t>3.教科研成果要求</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cs="仿宋"/>
          <w:color w:val="000000"/>
          <w:sz w:val="32"/>
          <w:szCs w:val="32"/>
        </w:rPr>
      </w:pPr>
      <w:r>
        <w:rPr>
          <w:rFonts w:hint="eastAsia" w:ascii="仿宋" w:hAnsi="仿宋" w:eastAsia="仿宋" w:cs="仿宋"/>
          <w:sz w:val="32"/>
          <w:szCs w:val="32"/>
        </w:rPr>
        <w:t>任现职以来，在国内外公开发行的CN</w:t>
      </w:r>
      <w:r>
        <w:rPr>
          <w:rFonts w:hint="eastAsia" w:ascii="仿宋" w:hAnsi="仿宋" w:eastAsia="仿宋" w:cs="仿宋"/>
          <w:color w:val="000000"/>
          <w:sz w:val="32"/>
          <w:szCs w:val="32"/>
        </w:rPr>
        <w:t>或ISSN</w:t>
      </w:r>
      <w:r>
        <w:rPr>
          <w:rFonts w:hint="eastAsia" w:ascii="仿宋" w:hAnsi="仿宋" w:eastAsia="仿宋" w:cs="仿宋"/>
          <w:sz w:val="32"/>
          <w:szCs w:val="32"/>
        </w:rPr>
        <w:t>学术刊物</w:t>
      </w:r>
      <w:r>
        <w:rPr>
          <w:rFonts w:hint="eastAsia" w:ascii="仿宋" w:hAnsi="仿宋" w:eastAsia="仿宋" w:cs="仿宋"/>
          <w:color w:val="000000"/>
          <w:sz w:val="32"/>
          <w:szCs w:val="32"/>
        </w:rPr>
        <w:t>上</w:t>
      </w:r>
      <w:r>
        <w:rPr>
          <w:rFonts w:hint="eastAsia" w:ascii="仿宋" w:hAnsi="仿宋" w:eastAsia="仿宋" w:cs="仿宋"/>
          <w:sz w:val="32"/>
          <w:szCs w:val="32"/>
        </w:rPr>
        <w:t>或学校“优秀论文集”上发表论文至少2</w:t>
      </w:r>
      <w:r>
        <w:rPr>
          <w:rFonts w:hint="eastAsia" w:ascii="仿宋" w:hAnsi="仿宋" w:eastAsia="仿宋" w:cs="仿宋"/>
          <w:color w:val="000000"/>
          <w:sz w:val="32"/>
          <w:szCs w:val="32"/>
        </w:rPr>
        <w:t>篇，其中至少1篇为教学研究论文。</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四、评聘程序</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1.全校统筹单列，每年设“教学型副教授”岗位；</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2.符合条件的教师提前2年自愿申报，申报人只可在正常申报和“教学型副教授”二者间选择其一进行申报；</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3.二级学院负责对申报人进行资格审查（资格审查中，教学效果为重要审查依据），确认申报人的教学、学术水平，形成推荐意见，报送至校办人事科。</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4.校内成立“教学型副教授”评审专家组，评审专家组须对申报人2年以上的教学质量进行考核，教学质量考核分数需90分以上。</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5.学校职称评审委员会评审。</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五、附则</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1.“双肩挑”教师可以参加“教学型”副教授职务的评聘。</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2.本办法由学校职称改革工作领导小组负责解释。如有超出本办法规定内容的特殊情况，由学校职称改革工作领导小组裁定。</w:t>
      </w:r>
    </w:p>
    <w:p>
      <w:pPr>
        <w:keepNext w:val="0"/>
        <w:keepLines w:val="0"/>
        <w:pageBreakBefore w:val="0"/>
        <w:widowControl w:val="0"/>
        <w:kinsoku/>
        <w:wordWrap/>
        <w:overflowPunct/>
        <w:topLinePunct w:val="0"/>
        <w:autoSpaceDE/>
        <w:autoSpaceDN/>
        <w:bidi w:val="0"/>
        <w:adjustRightInd/>
        <w:snapToGrid/>
        <w:spacing w:line="600" w:lineRule="exact"/>
        <w:ind w:firstLine="600"/>
        <w:textAlignment w:val="auto"/>
        <w:rPr>
          <w:rFonts w:ascii="仿宋" w:hAnsi="仿宋" w:eastAsia="仿宋"/>
          <w:sz w:val="32"/>
          <w:szCs w:val="32"/>
        </w:rPr>
      </w:pPr>
      <w:r>
        <w:rPr>
          <w:rFonts w:hint="eastAsia" w:ascii="仿宋" w:hAnsi="仿宋" w:eastAsia="仿宋"/>
          <w:sz w:val="32"/>
          <w:szCs w:val="32"/>
        </w:rPr>
        <w:t>3.本办法自发布之日起实施。</w:t>
      </w:r>
    </w:p>
    <w:p>
      <w:pPr>
        <w:keepNext w:val="0"/>
        <w:keepLines w:val="0"/>
        <w:pageBreakBefore w:val="0"/>
        <w:widowControl w:val="0"/>
        <w:kinsoku/>
        <w:wordWrap/>
        <w:overflowPunct/>
        <w:topLinePunct w:val="0"/>
        <w:autoSpaceDE/>
        <w:autoSpaceDN/>
        <w:bidi w:val="0"/>
        <w:adjustRightInd/>
        <w:snapToGrid/>
        <w:spacing w:before="157" w:beforeLines="50"/>
        <w:ind w:firstLine="601"/>
        <w:textAlignment w:val="auto"/>
        <w:rPr>
          <w:rFonts w:ascii="仿宋" w:hAnsi="仿宋" w:eastAsia="仿宋"/>
          <w:sz w:val="30"/>
          <w:szCs w:val="30"/>
        </w:rPr>
      </w:pPr>
      <w:r>
        <w:rPr>
          <w:rFonts w:hint="eastAsia" w:ascii="仿宋" w:hAnsi="仿宋" w:eastAsia="仿宋"/>
          <w:sz w:val="32"/>
          <w:szCs w:val="32"/>
        </w:rPr>
        <w:t>附件</w:t>
      </w:r>
      <w:r>
        <w:rPr>
          <w:rFonts w:hint="eastAsia" w:ascii="仿宋" w:hAnsi="仿宋" w:eastAsia="仿宋"/>
          <w:sz w:val="32"/>
          <w:szCs w:val="32"/>
          <w:lang w:val="en-US" w:eastAsia="zh-CN"/>
        </w:rPr>
        <w:t xml:space="preserve">: </w:t>
      </w:r>
      <w:r>
        <w:rPr>
          <w:rFonts w:hint="eastAsia" w:ascii="仿宋" w:hAnsi="仿宋" w:eastAsia="仿宋"/>
          <w:sz w:val="30"/>
          <w:szCs w:val="30"/>
        </w:rPr>
        <w:t>1.各学院申报教学型副教授人员申报汇总表</w:t>
      </w:r>
    </w:p>
    <w:p>
      <w:pPr>
        <w:ind w:left="0" w:leftChars="0" w:firstLine="1557" w:firstLineChars="519"/>
        <w:rPr>
          <w:rFonts w:ascii="仿宋" w:hAnsi="仿宋" w:eastAsia="仿宋"/>
          <w:sz w:val="30"/>
          <w:szCs w:val="30"/>
        </w:rPr>
      </w:pPr>
      <w:r>
        <w:rPr>
          <w:rFonts w:hint="eastAsia" w:ascii="仿宋" w:hAnsi="仿宋" w:eastAsia="仿宋"/>
          <w:sz w:val="30"/>
          <w:szCs w:val="30"/>
        </w:rPr>
        <w:t>2.“教学型”副教授课堂教学质量考核评价办法</w:t>
      </w:r>
    </w:p>
    <w:p>
      <w:pPr>
        <w:keepNext w:val="0"/>
        <w:keepLines w:val="0"/>
        <w:pageBreakBefore w:val="0"/>
        <w:widowControl w:val="0"/>
        <w:kinsoku/>
        <w:wordWrap/>
        <w:overflowPunct/>
        <w:topLinePunct w:val="0"/>
        <w:autoSpaceDE/>
        <w:autoSpaceDN/>
        <w:bidi w:val="0"/>
        <w:adjustRightInd/>
        <w:snapToGrid/>
        <w:spacing w:before="313" w:beforeLines="100" w:line="600" w:lineRule="exact"/>
        <w:ind w:firstLine="601"/>
        <w:textAlignment w:val="auto"/>
        <w:rPr>
          <w:rFonts w:hint="eastAsia" w:ascii="仿宋" w:hAnsi="仿宋" w:eastAsia="仿宋"/>
          <w:sz w:val="32"/>
          <w:szCs w:val="32"/>
          <w:lang w:eastAsia="zh-CN"/>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jc w:val="left"/>
        <w:rPr>
          <w:rFonts w:ascii="仿宋" w:hAnsi="仿宋" w:eastAsia="仿宋"/>
          <w:sz w:val="30"/>
          <w:szCs w:val="30"/>
        </w:rPr>
      </w:pPr>
    </w:p>
    <w:p>
      <w:pPr>
        <w:jc w:val="left"/>
        <w:rPr>
          <w:rFonts w:ascii="仿宋" w:hAnsi="仿宋" w:eastAsia="仿宋"/>
          <w:sz w:val="30"/>
          <w:szCs w:val="30"/>
        </w:rPr>
      </w:pPr>
    </w:p>
    <w:p>
      <w:pPr>
        <w:pStyle w:val="2"/>
        <w:rPr>
          <w:rFonts w:ascii="仿宋" w:hAnsi="仿宋" w:eastAsia="仿宋"/>
          <w:sz w:val="30"/>
          <w:szCs w:val="30"/>
        </w:rPr>
      </w:pPr>
    </w:p>
    <w:p>
      <w:pPr>
        <w:jc w:val="left"/>
        <w:rPr>
          <w:rFonts w:ascii="仿宋" w:hAnsi="仿宋" w:eastAsia="仿宋"/>
          <w:sz w:val="30"/>
          <w:szCs w:val="30"/>
        </w:rPr>
      </w:pPr>
      <w:r>
        <w:rPr>
          <w:rFonts w:hint="eastAsia" w:ascii="仿宋" w:hAnsi="仿宋" w:eastAsia="仿宋"/>
          <w:sz w:val="30"/>
          <w:szCs w:val="30"/>
        </w:rPr>
        <w:t>附件1</w:t>
      </w:r>
    </w:p>
    <w:tbl>
      <w:tblPr>
        <w:tblStyle w:val="9"/>
        <w:tblW w:w="9611" w:type="dxa"/>
        <w:jc w:val="center"/>
        <w:tblLayout w:type="fixed"/>
        <w:tblCellMar>
          <w:top w:w="0" w:type="dxa"/>
          <w:left w:w="108" w:type="dxa"/>
          <w:bottom w:w="0" w:type="dxa"/>
          <w:right w:w="108" w:type="dxa"/>
        </w:tblCellMar>
      </w:tblPr>
      <w:tblGrid>
        <w:gridCol w:w="369"/>
        <w:gridCol w:w="993"/>
        <w:gridCol w:w="567"/>
        <w:gridCol w:w="851"/>
        <w:gridCol w:w="708"/>
        <w:gridCol w:w="851"/>
        <w:gridCol w:w="1276"/>
        <w:gridCol w:w="1445"/>
        <w:gridCol w:w="1390"/>
        <w:gridCol w:w="1161"/>
      </w:tblGrid>
      <w:tr>
        <w:tblPrEx>
          <w:tblCellMar>
            <w:top w:w="0" w:type="dxa"/>
            <w:left w:w="108" w:type="dxa"/>
            <w:bottom w:w="0" w:type="dxa"/>
            <w:right w:w="108" w:type="dxa"/>
          </w:tblCellMar>
        </w:tblPrEx>
        <w:trPr>
          <w:trHeight w:val="810" w:hRule="atLeast"/>
          <w:jc w:val="center"/>
        </w:trPr>
        <w:tc>
          <w:tcPr>
            <w:tcW w:w="9611" w:type="dxa"/>
            <w:gridSpan w:val="10"/>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6"/>
                <w:szCs w:val="36"/>
              </w:rPr>
            </w:pPr>
            <w:r>
              <w:rPr>
                <w:rFonts w:hint="eastAsia" w:ascii="黑体" w:hAnsi="黑体" w:eastAsia="黑体" w:cs="黑体"/>
                <w:b w:val="0"/>
                <w:bCs w:val="0"/>
                <w:kern w:val="0"/>
                <w:sz w:val="36"/>
                <w:szCs w:val="36"/>
              </w:rPr>
              <w:t>各学院申报教学型副教授人员申报汇总表</w:t>
            </w:r>
          </w:p>
        </w:tc>
      </w:tr>
      <w:tr>
        <w:tblPrEx>
          <w:tblCellMar>
            <w:top w:w="0" w:type="dxa"/>
            <w:left w:w="108" w:type="dxa"/>
            <w:bottom w:w="0" w:type="dxa"/>
            <w:right w:w="108" w:type="dxa"/>
          </w:tblCellMar>
        </w:tblPrEx>
        <w:trPr>
          <w:trHeight w:val="645" w:hRule="atLeast"/>
          <w:jc w:val="center"/>
        </w:trPr>
        <w:tc>
          <w:tcPr>
            <w:tcW w:w="7060" w:type="dxa"/>
            <w:gridSpan w:val="8"/>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所在学院：（盖章）</w:t>
            </w:r>
          </w:p>
        </w:tc>
        <w:tc>
          <w:tcPr>
            <w:tcW w:w="1390" w:type="dxa"/>
            <w:tcBorders>
              <w:top w:val="nil"/>
              <w:left w:val="nil"/>
              <w:bottom w:val="nil"/>
              <w:right w:val="nil"/>
            </w:tcBorders>
            <w:shd w:val="clear" w:color="auto" w:fill="auto"/>
            <w:noWrap/>
            <w:vAlign w:val="center"/>
          </w:tcPr>
          <w:p>
            <w:pPr>
              <w:widowControl/>
              <w:rPr>
                <w:rFonts w:ascii="宋体" w:hAnsi="宋体" w:eastAsia="宋体" w:cs="宋体"/>
                <w:kern w:val="0"/>
                <w:sz w:val="24"/>
                <w:szCs w:val="24"/>
              </w:rPr>
            </w:pPr>
            <w:r>
              <w:rPr>
                <w:rFonts w:hint="eastAsia" w:ascii="宋体" w:hAnsi="宋体" w:eastAsia="宋体" w:cs="宋体"/>
                <w:kern w:val="0"/>
                <w:sz w:val="24"/>
                <w:szCs w:val="24"/>
              </w:rPr>
              <w:t>日期：</w:t>
            </w:r>
          </w:p>
        </w:tc>
        <w:tc>
          <w:tcPr>
            <w:tcW w:w="1161" w:type="dxa"/>
            <w:tcBorders>
              <w:top w:val="nil"/>
              <w:left w:val="nil"/>
              <w:bottom w:val="nil"/>
              <w:right w:val="nil"/>
            </w:tcBorders>
            <w:shd w:val="clear" w:color="auto" w:fill="auto"/>
            <w:noWrap/>
            <w:vAlign w:val="center"/>
          </w:tcPr>
          <w:p>
            <w:pPr>
              <w:widowControl/>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915" w:hRule="atLeast"/>
          <w:jc w:val="center"/>
        </w:trPr>
        <w:tc>
          <w:tcPr>
            <w:tcW w:w="3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出生年月</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学历学位</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原专业技术职务</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获得专业技术职务时间</w:t>
            </w:r>
          </w:p>
        </w:tc>
        <w:tc>
          <w:tcPr>
            <w:tcW w:w="13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拟申报专业技术职务资格</w:t>
            </w:r>
          </w:p>
        </w:tc>
        <w:tc>
          <w:tcPr>
            <w:tcW w:w="11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申报人签字</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jc w:val="center"/>
        </w:trPr>
        <w:tc>
          <w:tcPr>
            <w:tcW w:w="36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93"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567"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708"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85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76"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445"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90"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61" w:type="dxa"/>
            <w:tcBorders>
              <w:top w:val="nil"/>
              <w:left w:val="nil"/>
              <w:bottom w:val="nil"/>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80" w:hRule="atLeast"/>
          <w:jc w:val="center"/>
        </w:trPr>
        <w:tc>
          <w:tcPr>
            <w:tcW w:w="9611" w:type="dxa"/>
            <w:gridSpan w:val="10"/>
            <w:tcBorders>
              <w:top w:val="single" w:color="auto" w:sz="4" w:space="0"/>
              <w:left w:val="nil"/>
              <w:bottom w:val="nil"/>
              <w:right w:val="nil"/>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说明：拟申报专业技术职务资格填写“教学型副教授”。</w:t>
            </w:r>
          </w:p>
        </w:tc>
      </w:tr>
    </w:tbl>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jc w:val="left"/>
        <w:rPr>
          <w:rFonts w:hint="eastAsia" w:ascii="黑体" w:hAnsi="黑体" w:eastAsia="黑体" w:cs="黑体"/>
          <w:sz w:val="30"/>
          <w:szCs w:val="30"/>
        </w:rPr>
      </w:pPr>
      <w:r>
        <w:rPr>
          <w:rFonts w:hint="eastAsia" w:ascii="黑体" w:hAnsi="黑体" w:eastAsia="黑体" w:cs="黑体"/>
          <w:sz w:val="30"/>
          <w:szCs w:val="30"/>
        </w:rPr>
        <w:t>附件2</w:t>
      </w:r>
    </w:p>
    <w:p>
      <w:pPr>
        <w:jc w:val="left"/>
        <w:rPr>
          <w:rFonts w:hint="eastAsia" w:ascii="黑体" w:hAnsi="黑体" w:eastAsia="黑体" w:cs="黑体"/>
          <w:sz w:val="30"/>
          <w:szCs w:val="30"/>
        </w:rPr>
      </w:pPr>
    </w:p>
    <w:p>
      <w:pPr>
        <w:bidi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“教学型”副教授课程教学质量考核评价办法</w:t>
      </w:r>
    </w:p>
    <w:p>
      <w:pPr>
        <w:ind w:firstLine="600"/>
        <w:jc w:val="left"/>
        <w:rPr>
          <w:rFonts w:hint="eastAsia" w:ascii="仿宋" w:hAnsi="仿宋" w:eastAsia="仿宋"/>
          <w:sz w:val="30"/>
          <w:szCs w:val="30"/>
        </w:rPr>
      </w:pPr>
    </w:p>
    <w:p>
      <w:pPr>
        <w:ind w:firstLine="600"/>
        <w:jc w:val="left"/>
        <w:rPr>
          <w:rFonts w:ascii="仿宋" w:hAnsi="仿宋" w:eastAsia="仿宋"/>
          <w:sz w:val="32"/>
          <w:szCs w:val="32"/>
        </w:rPr>
      </w:pPr>
      <w:r>
        <w:rPr>
          <w:rFonts w:hint="eastAsia" w:ascii="仿宋" w:hAnsi="仿宋" w:eastAsia="仿宋"/>
          <w:sz w:val="32"/>
          <w:szCs w:val="32"/>
        </w:rPr>
        <w:t>1.学校成立“教学型副教授”评审专家组，对拟申报“教学型”副教授专业技术职务的教师进行集中听课，评审专家组成员根据考核评价指标体系对其课程教学质量进行打分。</w:t>
      </w:r>
    </w:p>
    <w:p>
      <w:pPr>
        <w:ind w:firstLine="600"/>
        <w:jc w:val="left"/>
        <w:rPr>
          <w:rFonts w:ascii="仿宋" w:hAnsi="仿宋" w:eastAsia="仿宋"/>
          <w:sz w:val="32"/>
          <w:szCs w:val="32"/>
        </w:rPr>
      </w:pPr>
      <w:r>
        <w:rPr>
          <w:rFonts w:hint="eastAsia" w:ascii="仿宋" w:hAnsi="仿宋" w:eastAsia="仿宋"/>
          <w:sz w:val="32"/>
          <w:szCs w:val="32"/>
        </w:rPr>
        <w:t>2.评审专家使用的考核评价指标体系见附表2-1。</w:t>
      </w:r>
    </w:p>
    <w:p>
      <w:pPr>
        <w:ind w:firstLine="600"/>
        <w:jc w:val="left"/>
        <w:rPr>
          <w:rFonts w:ascii="仿宋" w:hAnsi="仿宋" w:eastAsia="仿宋"/>
          <w:sz w:val="32"/>
          <w:szCs w:val="32"/>
        </w:rPr>
      </w:pPr>
      <w:r>
        <w:rPr>
          <w:rFonts w:hint="eastAsia" w:ascii="仿宋" w:hAnsi="仿宋" w:eastAsia="仿宋"/>
          <w:sz w:val="32"/>
          <w:szCs w:val="32"/>
        </w:rPr>
        <w:t>3.考核评价体系各项指标内容满分100分，由考核者根据实际情况打分。</w:t>
      </w:r>
    </w:p>
    <w:p>
      <w:pPr>
        <w:ind w:firstLine="600"/>
        <w:jc w:val="left"/>
        <w:rPr>
          <w:rFonts w:ascii="仿宋" w:hAnsi="仿宋" w:eastAsia="仿宋"/>
          <w:sz w:val="32"/>
          <w:szCs w:val="32"/>
        </w:rPr>
      </w:pPr>
      <w:r>
        <w:rPr>
          <w:rFonts w:hint="eastAsia" w:ascii="仿宋" w:hAnsi="仿宋" w:eastAsia="仿宋"/>
          <w:sz w:val="32"/>
          <w:szCs w:val="32"/>
        </w:rPr>
        <w:t>4.参评“教学型”副教授职务的教师需在规定时间内向评审专家组提供被考核课程的教学大纲、教材和教案各一份。</w:t>
      </w:r>
    </w:p>
    <w:p>
      <w:pPr>
        <w:ind w:firstLine="600"/>
        <w:jc w:val="left"/>
        <w:rPr>
          <w:rFonts w:ascii="仿宋" w:hAnsi="仿宋" w:eastAsia="仿宋"/>
          <w:sz w:val="32"/>
          <w:szCs w:val="32"/>
        </w:rPr>
      </w:pPr>
      <w:r>
        <w:rPr>
          <w:rFonts w:hint="eastAsia" w:ascii="仿宋" w:hAnsi="仿宋" w:eastAsia="仿宋"/>
          <w:sz w:val="32"/>
          <w:szCs w:val="32"/>
        </w:rPr>
        <w:t>5.评审组成员现场听课并评分。</w:t>
      </w: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ind w:firstLine="600"/>
        <w:jc w:val="left"/>
        <w:rPr>
          <w:rFonts w:ascii="仿宋" w:hAnsi="仿宋" w:eastAsia="仿宋"/>
          <w:sz w:val="30"/>
          <w:szCs w:val="30"/>
        </w:rPr>
      </w:pPr>
    </w:p>
    <w:p>
      <w:pPr>
        <w:jc w:val="left"/>
        <w:rPr>
          <w:rFonts w:ascii="仿宋" w:hAnsi="仿宋" w:eastAsia="仿宋"/>
          <w:sz w:val="30"/>
          <w:szCs w:val="30"/>
        </w:rPr>
      </w:pPr>
      <w:r>
        <w:rPr>
          <w:rFonts w:hint="eastAsia" w:ascii="仿宋" w:hAnsi="仿宋" w:eastAsia="仿宋"/>
          <w:sz w:val="30"/>
          <w:szCs w:val="30"/>
        </w:rPr>
        <w:t>附表2-1</w:t>
      </w:r>
    </w:p>
    <w:p>
      <w:pPr>
        <w:ind w:left="0" w:leftChars="0" w:firstLine="0" w:firstLineChars="0"/>
        <w:jc w:val="center"/>
        <w:rPr>
          <w:rFonts w:hint="eastAsia" w:ascii="黑体" w:hAnsi="黑体" w:eastAsia="黑体" w:cs="黑体"/>
          <w:b w:val="0"/>
          <w:bCs/>
          <w:sz w:val="36"/>
          <w:szCs w:val="36"/>
        </w:rPr>
      </w:pPr>
      <w:r>
        <w:rPr>
          <w:rFonts w:hint="eastAsia" w:ascii="黑体" w:hAnsi="黑体" w:eastAsia="黑体" w:cs="黑体"/>
          <w:b w:val="0"/>
          <w:bCs/>
          <w:sz w:val="36"/>
          <w:szCs w:val="36"/>
        </w:rPr>
        <w:t>教师课堂教学质量评价标准</w:t>
      </w:r>
    </w:p>
    <w:tbl>
      <w:tblPr>
        <w:tblStyle w:val="9"/>
        <w:tblW w:w="8839" w:type="dxa"/>
        <w:tblInd w:w="93" w:type="dxa"/>
        <w:tblLayout w:type="fixed"/>
        <w:tblCellMar>
          <w:top w:w="0" w:type="dxa"/>
          <w:left w:w="108" w:type="dxa"/>
          <w:bottom w:w="0" w:type="dxa"/>
          <w:right w:w="108" w:type="dxa"/>
        </w:tblCellMar>
      </w:tblPr>
      <w:tblGrid>
        <w:gridCol w:w="880"/>
        <w:gridCol w:w="6876"/>
        <w:gridCol w:w="1083"/>
      </w:tblGrid>
      <w:tr>
        <w:tblPrEx>
          <w:tblCellMar>
            <w:top w:w="0" w:type="dxa"/>
            <w:left w:w="108" w:type="dxa"/>
            <w:bottom w:w="0" w:type="dxa"/>
            <w:right w:w="108" w:type="dxa"/>
          </w:tblCellMar>
        </w:tblPrEx>
        <w:trPr>
          <w:trHeight w:val="838" w:hRule="atLeast"/>
        </w:trPr>
        <w:tc>
          <w:tcPr>
            <w:tcW w:w="88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asciiTheme="minorEastAsia" w:hAnsiTheme="minorEastAsia"/>
                <w:sz w:val="24"/>
                <w:szCs w:val="24"/>
              </w:rPr>
              <w:t>测评指标</w:t>
            </w:r>
          </w:p>
        </w:tc>
        <w:tc>
          <w:tcPr>
            <w:tcW w:w="6876" w:type="dxa"/>
            <w:tcBorders>
              <w:top w:val="single" w:color="auto" w:sz="4" w:space="0"/>
              <w:left w:val="nil"/>
              <w:bottom w:val="single" w:color="auto" w:sz="4" w:space="0"/>
              <w:right w:val="single" w:color="000000" w:sz="4" w:space="0"/>
            </w:tcBorders>
            <w:shd w:val="clear" w:color="auto" w:fill="auto"/>
            <w:noWrap/>
            <w:vAlign w:val="center"/>
          </w:tcPr>
          <w:p>
            <w:pPr>
              <w:jc w:val="center"/>
              <w:rPr>
                <w:rFonts w:cs="宋体" w:asciiTheme="minorEastAsia" w:hAnsiTheme="minorEastAsia"/>
                <w:sz w:val="24"/>
                <w:szCs w:val="24"/>
              </w:rPr>
            </w:pPr>
            <w:r>
              <w:rPr>
                <w:rFonts w:hint="eastAsia" w:asciiTheme="minorEastAsia" w:hAnsiTheme="minorEastAsia"/>
                <w:sz w:val="24"/>
                <w:szCs w:val="24"/>
              </w:rPr>
              <w:t>评价标准</w:t>
            </w:r>
          </w:p>
        </w:tc>
        <w:tc>
          <w:tcPr>
            <w:tcW w:w="1083"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sz w:val="24"/>
                <w:szCs w:val="24"/>
              </w:rPr>
            </w:pPr>
            <w:r>
              <w:rPr>
                <w:rFonts w:hint="eastAsia" w:asciiTheme="minorEastAsia" w:hAnsiTheme="minorEastAsia"/>
                <w:sz w:val="24"/>
                <w:szCs w:val="24"/>
              </w:rPr>
              <w:t>分值</w:t>
            </w:r>
          </w:p>
        </w:tc>
      </w:tr>
      <w:tr>
        <w:tblPrEx>
          <w:tblCellMar>
            <w:top w:w="0" w:type="dxa"/>
            <w:left w:w="108" w:type="dxa"/>
            <w:bottom w:w="0" w:type="dxa"/>
            <w:right w:w="108" w:type="dxa"/>
          </w:tblCellMar>
        </w:tblPrEx>
        <w:trPr>
          <w:trHeight w:val="383"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asciiTheme="minorEastAsia" w:hAnsiTheme="minorEastAsia"/>
                <w:sz w:val="24"/>
                <w:szCs w:val="24"/>
              </w:rPr>
              <w:t>教学态度</w:t>
            </w:r>
          </w:p>
        </w:tc>
        <w:tc>
          <w:tcPr>
            <w:tcW w:w="6876" w:type="dxa"/>
            <w:tcBorders>
              <w:top w:val="single" w:color="auto" w:sz="4" w:space="0"/>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1.备课充分，讲课投入认真，具有敬业精神。</w:t>
            </w:r>
          </w:p>
        </w:tc>
        <w:tc>
          <w:tcPr>
            <w:tcW w:w="108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 w:val="24"/>
                <w:szCs w:val="24"/>
              </w:rPr>
            </w:pPr>
            <w:r>
              <w:rPr>
                <w:rFonts w:hint="eastAsia" w:asciiTheme="minorEastAsia" w:hAnsiTheme="minorEastAsia"/>
                <w:sz w:val="24"/>
                <w:szCs w:val="24"/>
              </w:rPr>
              <w:t>10</w:t>
            </w: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2.为人师表，按时上下课，严格遵循教学大纲和教学日历授课。</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3.仪表端庄，教态得体，情绪饱满，态度亲切自然。</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single" w:color="auto" w:sz="4" w:space="0"/>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4.治学严谨，对学生严格要求。</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asciiTheme="minorEastAsia" w:hAnsiTheme="minorEastAsia"/>
                <w:sz w:val="24"/>
                <w:szCs w:val="24"/>
              </w:rPr>
              <w:t>教学内容</w:t>
            </w:r>
          </w:p>
        </w:tc>
        <w:tc>
          <w:tcPr>
            <w:tcW w:w="6876" w:type="dxa"/>
            <w:tcBorders>
              <w:top w:val="single" w:color="auto" w:sz="4" w:space="0"/>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1.基本概念、原理、术语讲解准确，易于理解。</w:t>
            </w:r>
          </w:p>
        </w:tc>
        <w:tc>
          <w:tcPr>
            <w:tcW w:w="108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 w:val="24"/>
                <w:szCs w:val="24"/>
              </w:rPr>
            </w:pPr>
            <w:r>
              <w:rPr>
                <w:rFonts w:hint="eastAsia" w:asciiTheme="minorEastAsia" w:hAnsiTheme="minorEastAsia"/>
                <w:sz w:val="24"/>
                <w:szCs w:val="24"/>
              </w:rPr>
              <w:t>35</w:t>
            </w: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2.重点突出，难点处理得当，举例典型。</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3.教学内容深度广度适宜，内容新颖，信息量适中。</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4.重视理论联系实际，体现学科新成果、新知识、新动向。</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single" w:color="auto" w:sz="4" w:space="0"/>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5.思路清晰，讲课熟练。</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asciiTheme="minorEastAsia" w:hAnsiTheme="minorEastAsia"/>
                <w:sz w:val="24"/>
                <w:szCs w:val="24"/>
              </w:rPr>
              <w:t>教学方法</w:t>
            </w:r>
          </w:p>
        </w:tc>
        <w:tc>
          <w:tcPr>
            <w:tcW w:w="6876" w:type="dxa"/>
            <w:tcBorders>
              <w:top w:val="single" w:color="auto" w:sz="4" w:space="0"/>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1.因材施教，教学组织力强，能有效驾驭课堂。</w:t>
            </w:r>
          </w:p>
        </w:tc>
        <w:tc>
          <w:tcPr>
            <w:tcW w:w="108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 w:val="24"/>
                <w:szCs w:val="24"/>
              </w:rPr>
            </w:pPr>
            <w:r>
              <w:rPr>
                <w:rFonts w:hint="eastAsia" w:asciiTheme="minorEastAsia" w:hAnsiTheme="minorEastAsia"/>
                <w:sz w:val="24"/>
                <w:szCs w:val="24"/>
              </w:rPr>
              <w:t>35</w:t>
            </w:r>
          </w:p>
        </w:tc>
      </w:tr>
      <w:tr>
        <w:tblPrEx>
          <w:tblCellMar>
            <w:top w:w="0" w:type="dxa"/>
            <w:left w:w="108" w:type="dxa"/>
            <w:bottom w:w="0" w:type="dxa"/>
            <w:right w:w="108" w:type="dxa"/>
          </w:tblCellMar>
        </w:tblPrEx>
        <w:trPr>
          <w:trHeight w:val="728"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2.语言简练生动、普通话标准、口齿清晰、板书工整、规范、有条理。</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728"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3.结合课程特点选择适当教学手段；板书规范；多媒体教学效果显著。</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728"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vAlign w:val="center"/>
          </w:tcPr>
          <w:p>
            <w:pPr>
              <w:jc w:val="left"/>
              <w:rPr>
                <w:rFonts w:cs="宋体" w:asciiTheme="minorEastAsia" w:hAnsiTheme="minorEastAsia"/>
                <w:sz w:val="24"/>
                <w:szCs w:val="24"/>
              </w:rPr>
            </w:pPr>
            <w:r>
              <w:rPr>
                <w:rFonts w:hint="eastAsia" w:asciiTheme="minorEastAsia" w:hAnsiTheme="minorEastAsia"/>
                <w:sz w:val="24"/>
                <w:szCs w:val="24"/>
              </w:rPr>
              <w:t>4.注重启发式教学，能给学生思考、联想、创新的启迪，注重学生学习方法和创新能力的培养。</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single" w:color="auto" w:sz="4" w:space="0"/>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5.关注学生的信息反馈，引导学生参与教学活动。</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sz w:val="24"/>
                <w:szCs w:val="24"/>
              </w:rPr>
            </w:pPr>
            <w:r>
              <w:rPr>
                <w:rFonts w:hint="eastAsia" w:asciiTheme="minorEastAsia" w:hAnsiTheme="minorEastAsia"/>
                <w:sz w:val="24"/>
                <w:szCs w:val="24"/>
              </w:rPr>
              <w:t>教学效果</w:t>
            </w:r>
          </w:p>
        </w:tc>
        <w:tc>
          <w:tcPr>
            <w:tcW w:w="6876" w:type="dxa"/>
            <w:tcBorders>
              <w:top w:val="single" w:color="auto" w:sz="4" w:space="0"/>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1.学生到课率高，教学秩序良好。</w:t>
            </w:r>
          </w:p>
        </w:tc>
        <w:tc>
          <w:tcPr>
            <w:tcW w:w="1083"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sz w:val="24"/>
                <w:szCs w:val="24"/>
              </w:rPr>
            </w:pPr>
            <w:r>
              <w:rPr>
                <w:rFonts w:hint="eastAsia" w:asciiTheme="minorEastAsia" w:hAnsiTheme="minorEastAsia"/>
                <w:sz w:val="24"/>
                <w:szCs w:val="24"/>
              </w:rPr>
              <w:t>20</w:t>
            </w: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2.学生注意力集中，学习兴趣浓厚，课堂气氛活跃。</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nil"/>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3.通过课堂教学，学生能运用所学知识分析解答有关问题。</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383" w:hRule="atLeast"/>
        </w:trPr>
        <w:tc>
          <w:tcPr>
            <w:tcW w:w="88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c>
          <w:tcPr>
            <w:tcW w:w="6876" w:type="dxa"/>
            <w:tcBorders>
              <w:top w:val="nil"/>
              <w:left w:val="nil"/>
              <w:bottom w:val="single" w:color="auto" w:sz="4" w:space="0"/>
              <w:right w:val="single" w:color="000000" w:sz="4" w:space="0"/>
            </w:tcBorders>
            <w:shd w:val="clear" w:color="auto" w:fill="auto"/>
            <w:noWrap/>
            <w:vAlign w:val="center"/>
          </w:tcPr>
          <w:p>
            <w:pPr>
              <w:jc w:val="left"/>
              <w:rPr>
                <w:rFonts w:cs="宋体" w:asciiTheme="minorEastAsia" w:hAnsiTheme="minorEastAsia"/>
                <w:sz w:val="24"/>
                <w:szCs w:val="24"/>
              </w:rPr>
            </w:pPr>
            <w:r>
              <w:rPr>
                <w:rFonts w:hint="eastAsia" w:asciiTheme="minorEastAsia" w:hAnsiTheme="minorEastAsia"/>
                <w:sz w:val="24"/>
                <w:szCs w:val="24"/>
              </w:rPr>
              <w:t>4.学生潜在积极性得到发挥，学生自主学习能力增强。</w:t>
            </w:r>
          </w:p>
        </w:tc>
        <w:tc>
          <w:tcPr>
            <w:tcW w:w="1083"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sz w:val="24"/>
                <w:szCs w:val="24"/>
              </w:rPr>
            </w:pPr>
          </w:p>
        </w:tc>
      </w:tr>
      <w:tr>
        <w:tblPrEx>
          <w:tblCellMar>
            <w:top w:w="0" w:type="dxa"/>
            <w:left w:w="108" w:type="dxa"/>
            <w:bottom w:w="0" w:type="dxa"/>
            <w:right w:w="108" w:type="dxa"/>
          </w:tblCellMar>
        </w:tblPrEx>
        <w:trPr>
          <w:trHeight w:val="870" w:hRule="atLeast"/>
        </w:trPr>
        <w:tc>
          <w:tcPr>
            <w:tcW w:w="77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asciiTheme="minorEastAsia" w:hAnsiTheme="minorEastAsia"/>
                <w:b/>
                <w:sz w:val="24"/>
                <w:szCs w:val="24"/>
              </w:rPr>
              <w:t>总分：</w:t>
            </w:r>
          </w:p>
        </w:tc>
        <w:tc>
          <w:tcPr>
            <w:tcW w:w="1083" w:type="dxa"/>
            <w:tcBorders>
              <w:top w:val="nil"/>
              <w:left w:val="nil"/>
              <w:bottom w:val="single" w:color="auto" w:sz="4" w:space="0"/>
              <w:right w:val="single" w:color="auto" w:sz="4" w:space="0"/>
            </w:tcBorders>
            <w:shd w:val="clear" w:color="auto" w:fill="auto"/>
            <w:noWrap/>
            <w:vAlign w:val="center"/>
          </w:tcPr>
          <w:p>
            <w:pPr>
              <w:jc w:val="center"/>
              <w:rPr>
                <w:rFonts w:cs="宋体" w:asciiTheme="minorEastAsia" w:hAnsiTheme="minorEastAsia"/>
                <w:b/>
                <w:sz w:val="24"/>
                <w:szCs w:val="24"/>
              </w:rPr>
            </w:pPr>
            <w:r>
              <w:rPr>
                <w:rFonts w:hint="eastAsia" w:asciiTheme="minorEastAsia" w:hAnsiTheme="minorEastAsia"/>
                <w:b/>
                <w:sz w:val="24"/>
                <w:szCs w:val="24"/>
              </w:rPr>
              <w:t>100</w:t>
            </w:r>
          </w:p>
        </w:tc>
      </w:tr>
    </w:tbl>
    <w:p>
      <w:pPr>
        <w:ind w:firstLine="600"/>
        <w:jc w:val="left"/>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bookmarkStart w:id="0" w:name="_GoBack"/>
      <w:bookmarkEnd w:id="0"/>
    </w:p>
    <w:p>
      <w:pPr>
        <w:pStyle w:val="2"/>
        <w:rPr>
          <w:rFonts w:ascii="仿宋" w:hAnsi="仿宋" w:eastAsia="仿宋"/>
          <w:sz w:val="30"/>
          <w:szCs w:val="30"/>
        </w:rPr>
      </w:pPr>
    </w:p>
    <w:p>
      <w:pPr>
        <w:pStyle w:val="2"/>
        <w:rPr>
          <w:rFonts w:ascii="仿宋" w:hAnsi="仿宋" w:eastAsia="仿宋"/>
          <w:sz w:val="30"/>
          <w:szCs w:val="30"/>
        </w:rPr>
      </w:pPr>
    </w:p>
    <w:p>
      <w:pPr>
        <w:pStyle w:val="2"/>
        <w:rPr>
          <w:rFonts w:ascii="仿宋" w:hAnsi="仿宋" w:eastAsia="仿宋"/>
          <w:sz w:val="30"/>
          <w:szCs w:val="30"/>
        </w:rPr>
      </w:pPr>
    </w:p>
    <w:tbl>
      <w:tblPr>
        <w:tblStyle w:val="10"/>
        <w:tblpPr w:leftFromText="180" w:rightFromText="180" w:vertAnchor="text" w:horzAnchor="page" w:tblpX="1532" w:tblpY="45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040" w:type="dxa"/>
            <w:tcBorders>
              <w:left w:val="nil"/>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520" w:lineRule="exact"/>
              <w:ind w:right="0" w:rightChars="0"/>
              <w:jc w:val="both"/>
              <w:textAlignment w:val="auto"/>
              <w:outlineLvl w:val="9"/>
              <w:rPr>
                <w:rFonts w:hint="eastAsia" w:ascii="仿宋_GB2312" w:hAnsi="仿宋_GB2312" w:eastAsia="仿宋_GB2312" w:cs="仿宋_GB2312"/>
                <w:sz w:val="32"/>
                <w:szCs w:val="32"/>
                <w:vertAlign w:val="baseline"/>
              </w:rPr>
            </w:pPr>
            <w:r>
              <w:rPr>
                <w:rFonts w:hint="eastAsia" w:ascii="仿宋_GB2312" w:hAnsi="仿宋_GB2312" w:eastAsia="仿宋_GB2312" w:cs="仿宋_GB2312"/>
                <w:spacing w:val="-20"/>
                <w:sz w:val="28"/>
                <w:szCs w:val="28"/>
                <w:lang w:val="en-US" w:eastAsia="zh-CN"/>
              </w:rPr>
              <w:t xml:space="preserve"> </w:t>
            </w:r>
            <w:r>
              <w:rPr>
                <w:rFonts w:hint="eastAsia" w:ascii="仿宋_GB2312" w:hAnsi="仿宋_GB2312" w:eastAsia="仿宋_GB2312" w:cs="仿宋_GB2312"/>
                <w:spacing w:val="0"/>
                <w:sz w:val="28"/>
                <w:szCs w:val="28"/>
              </w:rPr>
              <w:t>厦门安防科技职业学院办公室</w: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0"/>
                <w:sz w:val="28"/>
                <w:szCs w:val="28"/>
              </w:rPr>
              <w:t>20</w:t>
            </w:r>
            <w:r>
              <w:rPr>
                <w:rFonts w:hint="eastAsia" w:ascii="仿宋_GB2312" w:hAnsi="仿宋_GB2312" w:eastAsia="仿宋_GB2312" w:cs="仿宋_GB2312"/>
                <w:spacing w:val="0"/>
                <w:sz w:val="28"/>
                <w:szCs w:val="28"/>
                <w:lang w:val="en-US" w:eastAsia="zh-CN"/>
              </w:rPr>
              <w:t>22</w:t>
            </w:r>
            <w:r>
              <w:rPr>
                <w:rFonts w:hint="eastAsia" w:ascii="仿宋_GB2312" w:hAnsi="仿宋_GB2312" w:eastAsia="仿宋_GB2312" w:cs="仿宋_GB2312"/>
                <w:spacing w:val="0"/>
                <w:sz w:val="28"/>
                <w:szCs w:val="28"/>
              </w:rPr>
              <w:t>年</w:t>
            </w:r>
            <w:r>
              <w:rPr>
                <w:rFonts w:hint="eastAsia" w:ascii="仿宋_GB2312" w:hAnsi="仿宋_GB2312" w:eastAsia="仿宋_GB2312" w:cs="仿宋_GB2312"/>
                <w:spacing w:val="0"/>
                <w:sz w:val="28"/>
                <w:szCs w:val="28"/>
                <w:lang w:val="en-US" w:eastAsia="zh-CN"/>
              </w:rPr>
              <w:t>2</w:t>
            </w:r>
            <w:r>
              <w:rPr>
                <w:rFonts w:hint="eastAsia" w:ascii="仿宋_GB2312" w:hAnsi="仿宋_GB2312" w:eastAsia="仿宋_GB2312" w:cs="仿宋_GB2312"/>
                <w:spacing w:val="0"/>
                <w:sz w:val="28"/>
                <w:szCs w:val="28"/>
              </w:rPr>
              <w:t>月</w:t>
            </w:r>
            <w:r>
              <w:rPr>
                <w:rFonts w:hint="eastAsia" w:ascii="仿宋_GB2312" w:hAnsi="仿宋_GB2312" w:eastAsia="仿宋_GB2312" w:cs="仿宋_GB2312"/>
                <w:spacing w:val="0"/>
                <w:sz w:val="28"/>
                <w:szCs w:val="28"/>
                <w:lang w:val="en-US" w:eastAsia="zh-CN"/>
              </w:rPr>
              <w:t>28</w:t>
            </w:r>
            <w:r>
              <w:rPr>
                <w:rFonts w:hint="eastAsia" w:ascii="仿宋_GB2312" w:hAnsi="仿宋_GB2312" w:eastAsia="仿宋_GB2312" w:cs="仿宋_GB2312"/>
                <w:spacing w:val="0"/>
                <w:sz w:val="28"/>
                <w:szCs w:val="28"/>
              </w:rPr>
              <w:t>日印发</w:t>
            </w:r>
          </w:p>
        </w:tc>
      </w:tr>
    </w:tbl>
    <w:p>
      <w:pPr>
        <w:pStyle w:val="2"/>
        <w:rPr>
          <w:rFonts w:ascii="仿宋" w:hAnsi="仿宋" w:eastAsia="仿宋"/>
          <w:sz w:val="21"/>
          <w:szCs w:val="21"/>
        </w:rPr>
      </w:pPr>
    </w:p>
    <w:sectPr>
      <w:footerReference r:id="rId3" w:type="default"/>
      <w:pgSz w:w="11906" w:h="16838"/>
      <w:pgMar w:top="1701" w:right="1531" w:bottom="1701"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hruti">
    <w:panose1 w:val="020B0502040204020203"/>
    <w:charset w:val="00"/>
    <w:family w:val="swiss"/>
    <w:pitch w:val="default"/>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6C4"/>
    <w:rsid w:val="00004D76"/>
    <w:rsid w:val="00022792"/>
    <w:rsid w:val="00043A67"/>
    <w:rsid w:val="000703A7"/>
    <w:rsid w:val="00113C4D"/>
    <w:rsid w:val="00122D4B"/>
    <w:rsid w:val="001414F9"/>
    <w:rsid w:val="00185832"/>
    <w:rsid w:val="0020075F"/>
    <w:rsid w:val="00204FA7"/>
    <w:rsid w:val="00237070"/>
    <w:rsid w:val="0028273F"/>
    <w:rsid w:val="00282B01"/>
    <w:rsid w:val="002A7601"/>
    <w:rsid w:val="00303FB1"/>
    <w:rsid w:val="003176A6"/>
    <w:rsid w:val="0032171F"/>
    <w:rsid w:val="003336F3"/>
    <w:rsid w:val="003374BE"/>
    <w:rsid w:val="00440C3E"/>
    <w:rsid w:val="00443A67"/>
    <w:rsid w:val="004524C8"/>
    <w:rsid w:val="004616F1"/>
    <w:rsid w:val="00475C90"/>
    <w:rsid w:val="004B014F"/>
    <w:rsid w:val="00542B15"/>
    <w:rsid w:val="005553B5"/>
    <w:rsid w:val="0057135C"/>
    <w:rsid w:val="005761E4"/>
    <w:rsid w:val="00593AD8"/>
    <w:rsid w:val="005A425B"/>
    <w:rsid w:val="005C4721"/>
    <w:rsid w:val="005C5593"/>
    <w:rsid w:val="005F64FA"/>
    <w:rsid w:val="006456DB"/>
    <w:rsid w:val="006B1652"/>
    <w:rsid w:val="006C4FBE"/>
    <w:rsid w:val="006E5E4E"/>
    <w:rsid w:val="00751643"/>
    <w:rsid w:val="0075225F"/>
    <w:rsid w:val="007744AE"/>
    <w:rsid w:val="00793DBA"/>
    <w:rsid w:val="007C6FEE"/>
    <w:rsid w:val="007D5BE2"/>
    <w:rsid w:val="007E4128"/>
    <w:rsid w:val="00831ACD"/>
    <w:rsid w:val="00831BAB"/>
    <w:rsid w:val="008437F9"/>
    <w:rsid w:val="00890C5C"/>
    <w:rsid w:val="008F2236"/>
    <w:rsid w:val="00915893"/>
    <w:rsid w:val="009363E4"/>
    <w:rsid w:val="009B4A78"/>
    <w:rsid w:val="009C714A"/>
    <w:rsid w:val="009D10FD"/>
    <w:rsid w:val="00A0125F"/>
    <w:rsid w:val="00A46CB1"/>
    <w:rsid w:val="00AB4D03"/>
    <w:rsid w:val="00AB506D"/>
    <w:rsid w:val="00AF0EBE"/>
    <w:rsid w:val="00B63131"/>
    <w:rsid w:val="00B72CFD"/>
    <w:rsid w:val="00B80230"/>
    <w:rsid w:val="00B85854"/>
    <w:rsid w:val="00BA16C4"/>
    <w:rsid w:val="00BB47EC"/>
    <w:rsid w:val="00BC014D"/>
    <w:rsid w:val="00BC6AF3"/>
    <w:rsid w:val="00C25A14"/>
    <w:rsid w:val="00C84C77"/>
    <w:rsid w:val="00CD74A6"/>
    <w:rsid w:val="00CF6DCF"/>
    <w:rsid w:val="00D41893"/>
    <w:rsid w:val="00D55348"/>
    <w:rsid w:val="00D56E9D"/>
    <w:rsid w:val="00D65ADC"/>
    <w:rsid w:val="00D804EC"/>
    <w:rsid w:val="00E34644"/>
    <w:rsid w:val="00E463E5"/>
    <w:rsid w:val="00E55AB4"/>
    <w:rsid w:val="00E5642C"/>
    <w:rsid w:val="00EA6395"/>
    <w:rsid w:val="00F64A24"/>
    <w:rsid w:val="00F95AC7"/>
    <w:rsid w:val="00FC2F2E"/>
    <w:rsid w:val="07CC2BCE"/>
    <w:rsid w:val="50037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paragraph" w:styleId="5">
    <w:name w:val="Date"/>
    <w:basedOn w:val="1"/>
    <w:next w:val="1"/>
    <w:link w:val="15"/>
    <w:semiHidden/>
    <w:unhideWhenUsed/>
    <w:qFormat/>
    <w:uiPriority w:val="99"/>
    <w:pPr>
      <w:ind w:left="100" w:leftChars="2500"/>
    </w:pPr>
  </w:style>
  <w:style w:type="paragraph" w:styleId="6">
    <w:name w:val="footer"/>
    <w:basedOn w:val="1"/>
    <w:link w:val="14"/>
    <w:unhideWhenUsed/>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标题 1 Char"/>
    <w:basedOn w:val="11"/>
    <w:link w:val="4"/>
    <w:qFormat/>
    <w:uiPriority w:val="9"/>
    <w:rPr>
      <w:b/>
      <w:bCs/>
      <w:kern w:val="44"/>
      <w:sz w:val="44"/>
      <w:szCs w:val="44"/>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character" w:customStyle="1" w:styleId="15">
    <w:name w:val="日期 Char"/>
    <w:basedOn w:val="11"/>
    <w:link w:val="5"/>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369</Words>
  <Characters>2107</Characters>
  <Lines>17</Lines>
  <Paragraphs>4</Paragraphs>
  <TotalTime>1</TotalTime>
  <ScaleCrop>false</ScaleCrop>
  <LinksUpToDate>false</LinksUpToDate>
  <CharactersWithSpaces>2472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2021-12-13T02:48:00Z</dcterms:created>
  <dc:creator>LC</dc:creator>
  <cp:lastModifiedBy>安防学院</cp:lastModifiedBy>
  <dcterms:modified xsi:type="dcterms:W3CDTF">2022-03-01T01:56:23Z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62240FD495E94384ADF4D8B7490C565E</vt:lpwstr>
  </property>
</Properties>
</file>